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88CD" w14:textId="77777777" w:rsidR="009C7100" w:rsidRPr="00B73B57" w:rsidRDefault="009C7100" w:rsidP="009C7100">
      <w:pPr>
        <w:autoSpaceDE w:val="0"/>
        <w:autoSpaceDN w:val="0"/>
        <w:adjustRightInd w:val="0"/>
        <w:spacing w:after="0" w:line="480" w:lineRule="auto"/>
        <w:jc w:val="both"/>
        <w:rPr>
          <w:rFonts w:cstheme="minorHAnsi"/>
          <w:b/>
          <w:color w:val="131413"/>
          <w:sz w:val="28"/>
          <w:szCs w:val="28"/>
          <w:lang w:val="en-GB"/>
        </w:rPr>
      </w:pPr>
      <w:r w:rsidRPr="00B73B57">
        <w:rPr>
          <w:rFonts w:cstheme="minorHAnsi"/>
          <w:b/>
          <w:color w:val="131413"/>
          <w:sz w:val="28"/>
          <w:szCs w:val="28"/>
          <w:lang w:val="en-GB"/>
        </w:rPr>
        <w:t>Abstract</w:t>
      </w:r>
    </w:p>
    <w:p w14:paraId="4F45016E" w14:textId="77777777" w:rsidR="009C7100" w:rsidRPr="00B73B57" w:rsidRDefault="009C7100" w:rsidP="009C7100">
      <w:pPr>
        <w:autoSpaceDE w:val="0"/>
        <w:autoSpaceDN w:val="0"/>
        <w:adjustRightInd w:val="0"/>
        <w:spacing w:after="0" w:line="480" w:lineRule="auto"/>
        <w:jc w:val="both"/>
        <w:rPr>
          <w:rFonts w:cstheme="minorHAnsi"/>
          <w:b/>
          <w:color w:val="131413"/>
          <w:sz w:val="28"/>
          <w:szCs w:val="28"/>
          <w:lang w:val="en-GB"/>
        </w:rPr>
      </w:pPr>
    </w:p>
    <w:p w14:paraId="2554B473" w14:textId="77777777" w:rsidR="009C7100" w:rsidRPr="00B73B57" w:rsidRDefault="009C7100" w:rsidP="009C7100">
      <w:pPr>
        <w:autoSpaceDE w:val="0"/>
        <w:autoSpaceDN w:val="0"/>
        <w:adjustRightInd w:val="0"/>
        <w:spacing w:after="0" w:line="480" w:lineRule="auto"/>
        <w:jc w:val="both"/>
        <w:rPr>
          <w:rFonts w:cstheme="minorHAnsi"/>
          <w:b/>
          <w:color w:val="131413"/>
          <w:sz w:val="24"/>
          <w:szCs w:val="24"/>
          <w:lang w:val="en-GB"/>
        </w:rPr>
      </w:pPr>
      <w:bookmarkStart w:id="0" w:name="_Hlk142491858"/>
      <w:r w:rsidRPr="00B73B57">
        <w:rPr>
          <w:rFonts w:cstheme="minorHAnsi"/>
          <w:b/>
          <w:color w:val="131413"/>
          <w:sz w:val="24"/>
          <w:szCs w:val="24"/>
          <w:lang w:val="en-GB"/>
        </w:rPr>
        <w:t>Background and Aims</w:t>
      </w:r>
    </w:p>
    <w:p w14:paraId="3D9B714D" w14:textId="77777777" w:rsidR="009C7100" w:rsidRPr="00B73B57" w:rsidRDefault="009C7100" w:rsidP="009C7100">
      <w:pPr>
        <w:autoSpaceDE w:val="0"/>
        <w:autoSpaceDN w:val="0"/>
        <w:adjustRightInd w:val="0"/>
        <w:spacing w:after="0" w:line="480" w:lineRule="auto"/>
        <w:jc w:val="both"/>
        <w:rPr>
          <w:rFonts w:cstheme="minorHAnsi"/>
          <w:bCs/>
          <w:color w:val="131413"/>
          <w:sz w:val="24"/>
          <w:szCs w:val="24"/>
          <w:lang w:val="en-GB"/>
        </w:rPr>
      </w:pPr>
      <w:r>
        <w:rPr>
          <w:rFonts w:cstheme="minorHAnsi"/>
          <w:bCs/>
          <w:color w:val="131413"/>
          <w:sz w:val="24"/>
          <w:szCs w:val="24"/>
          <w:lang w:val="en-GB"/>
        </w:rPr>
        <w:t>The aim was to assess whether t</w:t>
      </w:r>
      <w:r w:rsidRPr="00B73B57">
        <w:rPr>
          <w:rFonts w:cstheme="minorHAnsi"/>
          <w:bCs/>
          <w:color w:val="131413"/>
          <w:sz w:val="24"/>
          <w:szCs w:val="24"/>
          <w:lang w:val="en-GB"/>
        </w:rPr>
        <w:t xml:space="preserve">he standalone surgical ablation followed by catheter ablation for atrial fibrillation </w:t>
      </w:r>
      <w:r>
        <w:rPr>
          <w:rFonts w:cstheme="minorHAnsi"/>
          <w:bCs/>
          <w:color w:val="131413"/>
          <w:sz w:val="24"/>
          <w:szCs w:val="24"/>
          <w:lang w:val="en-GB"/>
        </w:rPr>
        <w:t>would</w:t>
      </w:r>
      <w:r w:rsidRPr="00B73B57">
        <w:rPr>
          <w:rFonts w:cstheme="minorHAnsi"/>
          <w:bCs/>
          <w:color w:val="131413"/>
          <w:sz w:val="24"/>
          <w:szCs w:val="24"/>
          <w:lang w:val="en-GB"/>
        </w:rPr>
        <w:t xml:space="preserve"> achieve high</w:t>
      </w:r>
      <w:r>
        <w:rPr>
          <w:rFonts w:cstheme="minorHAnsi"/>
          <w:bCs/>
          <w:color w:val="131413"/>
          <w:sz w:val="24"/>
          <w:szCs w:val="24"/>
          <w:lang w:val="en-GB"/>
        </w:rPr>
        <w:t>er</w:t>
      </w:r>
      <w:r w:rsidRPr="00B73B57">
        <w:rPr>
          <w:rFonts w:cstheme="minorHAnsi"/>
          <w:bCs/>
          <w:color w:val="131413"/>
          <w:sz w:val="24"/>
          <w:szCs w:val="24"/>
          <w:lang w:val="en-GB"/>
        </w:rPr>
        <w:t xml:space="preserve"> freedom from atrial arrhythmias </w:t>
      </w:r>
      <w:r>
        <w:rPr>
          <w:rFonts w:cstheme="minorHAnsi"/>
          <w:bCs/>
          <w:color w:val="131413"/>
          <w:sz w:val="24"/>
          <w:szCs w:val="24"/>
          <w:lang w:val="en-GB"/>
        </w:rPr>
        <w:t>and be associated with better clinical outcomes than</w:t>
      </w:r>
      <w:r w:rsidRPr="00B73B57">
        <w:rPr>
          <w:rFonts w:cstheme="minorHAnsi"/>
          <w:bCs/>
          <w:color w:val="131413"/>
          <w:sz w:val="24"/>
          <w:szCs w:val="24"/>
          <w:lang w:val="en-GB"/>
        </w:rPr>
        <w:t xml:space="preserve"> </w:t>
      </w:r>
      <w:r>
        <w:rPr>
          <w:rFonts w:cstheme="minorHAnsi"/>
          <w:bCs/>
          <w:color w:val="131413"/>
          <w:sz w:val="24"/>
          <w:szCs w:val="24"/>
          <w:lang w:val="en-GB"/>
        </w:rPr>
        <w:t xml:space="preserve">surgical ablation </w:t>
      </w:r>
      <w:r w:rsidRPr="00B73B57">
        <w:rPr>
          <w:rFonts w:cstheme="minorHAnsi"/>
          <w:bCs/>
          <w:color w:val="131413"/>
          <w:sz w:val="24"/>
          <w:szCs w:val="24"/>
          <w:lang w:val="en-GB"/>
        </w:rPr>
        <w:t xml:space="preserve">alone. Data on the benefit of such a </w:t>
      </w:r>
      <w:r>
        <w:rPr>
          <w:rFonts w:cstheme="minorHAnsi"/>
          <w:bCs/>
          <w:color w:val="131413"/>
          <w:sz w:val="24"/>
          <w:szCs w:val="24"/>
          <w:lang w:val="en-GB"/>
        </w:rPr>
        <w:t xml:space="preserve">hybrid </w:t>
      </w:r>
      <w:r w:rsidRPr="00B73B57">
        <w:rPr>
          <w:rFonts w:cstheme="minorHAnsi"/>
          <w:bCs/>
          <w:color w:val="131413"/>
          <w:sz w:val="24"/>
          <w:szCs w:val="24"/>
          <w:lang w:val="en-GB"/>
        </w:rPr>
        <w:t xml:space="preserve">strategy are lacking in patients </w:t>
      </w:r>
      <w:bookmarkStart w:id="1" w:name="_Hlk145535169"/>
      <w:r w:rsidRPr="00B73B57">
        <w:rPr>
          <w:rFonts w:cstheme="minorHAnsi"/>
          <w:bCs/>
          <w:color w:val="131413"/>
          <w:sz w:val="24"/>
          <w:szCs w:val="24"/>
          <w:lang w:val="en-GB"/>
        </w:rPr>
        <w:t xml:space="preserve">with structural heart disease </w:t>
      </w:r>
      <w:bookmarkEnd w:id="1"/>
      <w:r w:rsidRPr="00B73B57">
        <w:rPr>
          <w:rFonts w:cstheme="minorHAnsi"/>
          <w:bCs/>
          <w:color w:val="131413"/>
          <w:sz w:val="24"/>
          <w:szCs w:val="24"/>
          <w:lang w:val="en-GB"/>
        </w:rPr>
        <w:t>undergoing concomitant CryoMaze procedures.</w:t>
      </w:r>
    </w:p>
    <w:p w14:paraId="0F56626E" w14:textId="77777777" w:rsidR="009C7100" w:rsidRPr="00B73B57" w:rsidRDefault="009C7100" w:rsidP="009C7100">
      <w:pPr>
        <w:autoSpaceDE w:val="0"/>
        <w:autoSpaceDN w:val="0"/>
        <w:adjustRightInd w:val="0"/>
        <w:spacing w:after="0" w:line="480" w:lineRule="auto"/>
        <w:jc w:val="both"/>
        <w:rPr>
          <w:rFonts w:cstheme="minorHAnsi"/>
          <w:b/>
          <w:color w:val="131413"/>
          <w:sz w:val="24"/>
          <w:szCs w:val="24"/>
          <w:lang w:val="en-GB"/>
        </w:rPr>
      </w:pPr>
    </w:p>
    <w:p w14:paraId="000AC612" w14:textId="77777777" w:rsidR="009C7100" w:rsidRPr="00B73B57" w:rsidRDefault="009C7100" w:rsidP="009C7100">
      <w:pPr>
        <w:autoSpaceDE w:val="0"/>
        <w:autoSpaceDN w:val="0"/>
        <w:adjustRightInd w:val="0"/>
        <w:spacing w:after="0" w:line="480" w:lineRule="auto"/>
        <w:jc w:val="both"/>
        <w:rPr>
          <w:rFonts w:cstheme="minorHAnsi"/>
          <w:b/>
          <w:color w:val="131413"/>
          <w:sz w:val="24"/>
          <w:szCs w:val="24"/>
          <w:lang w:val="en-GB"/>
        </w:rPr>
      </w:pPr>
      <w:r w:rsidRPr="00B73B57">
        <w:rPr>
          <w:rFonts w:cstheme="minorHAnsi"/>
          <w:b/>
          <w:color w:val="131413"/>
          <w:sz w:val="24"/>
          <w:szCs w:val="24"/>
          <w:lang w:val="en-GB"/>
        </w:rPr>
        <w:t>Methods</w:t>
      </w:r>
    </w:p>
    <w:p w14:paraId="385D452E" w14:textId="77777777" w:rsidR="009C7100" w:rsidRPr="00B73B57" w:rsidRDefault="009C7100" w:rsidP="009C7100">
      <w:pPr>
        <w:autoSpaceDE w:val="0"/>
        <w:autoSpaceDN w:val="0"/>
        <w:adjustRightInd w:val="0"/>
        <w:spacing w:after="0" w:line="480" w:lineRule="auto"/>
        <w:jc w:val="both"/>
        <w:rPr>
          <w:rFonts w:cstheme="minorHAnsi"/>
          <w:sz w:val="24"/>
          <w:szCs w:val="24"/>
          <w:lang w:val="en-GB"/>
        </w:rPr>
      </w:pPr>
      <w:r w:rsidRPr="00B73B57">
        <w:rPr>
          <w:rFonts w:cstheme="minorHAnsi"/>
          <w:bCs/>
          <w:color w:val="131413"/>
          <w:sz w:val="24"/>
          <w:szCs w:val="24"/>
          <w:lang w:val="en-GB"/>
        </w:rPr>
        <w:t xml:space="preserve">The trial investigated patients with non-paroxysmal atrial fibrillation undergoing coronary artery bypass grafting and/or valve repair/replacement with </w:t>
      </w:r>
      <w:r>
        <w:rPr>
          <w:rFonts w:cstheme="minorHAnsi"/>
          <w:bCs/>
          <w:color w:val="131413"/>
          <w:sz w:val="24"/>
          <w:szCs w:val="24"/>
          <w:lang w:val="en-GB"/>
        </w:rPr>
        <w:t xml:space="preserve">mandatory </w:t>
      </w:r>
      <w:r w:rsidRPr="00B73B57">
        <w:rPr>
          <w:rFonts w:cstheme="minorHAnsi"/>
          <w:bCs/>
          <w:color w:val="131413"/>
          <w:sz w:val="24"/>
          <w:szCs w:val="24"/>
          <w:lang w:val="en-GB"/>
        </w:rPr>
        <w:t xml:space="preserve">concomitant CryoMaze procedure who were randomly assigned to undergo either radiofrequency catheter ablation (Hybrid Group) or no further treatment (Surgery Group). The primary efficacy endpoint was the first recurrence of atrial arrhythmias without class I or III antiarrhythmic drugs as assessed by implantable cardiac monitors. The primary clinical endpoint was a composite of </w:t>
      </w:r>
      <w:r>
        <w:rPr>
          <w:rFonts w:cstheme="minorHAnsi"/>
          <w:sz w:val="24"/>
          <w:szCs w:val="24"/>
          <w:lang w:val="en-GB"/>
        </w:rPr>
        <w:t>hospitalisation</w:t>
      </w:r>
      <w:r w:rsidRPr="00B73B57">
        <w:rPr>
          <w:rFonts w:cstheme="minorHAnsi"/>
          <w:sz w:val="24"/>
          <w:szCs w:val="24"/>
          <w:lang w:val="en-GB"/>
        </w:rPr>
        <w:t xml:space="preserve"> for </w:t>
      </w:r>
      <w:r w:rsidRPr="00B73B57">
        <w:rPr>
          <w:rFonts w:cstheme="minorHAnsi"/>
          <w:bCs/>
          <w:color w:val="131413"/>
          <w:sz w:val="24"/>
          <w:szCs w:val="24"/>
          <w:lang w:val="en-GB"/>
        </w:rPr>
        <w:t xml:space="preserve">arrhythmia </w:t>
      </w:r>
      <w:r w:rsidRPr="00B73B57">
        <w:rPr>
          <w:rFonts w:cstheme="minorHAnsi"/>
          <w:sz w:val="24"/>
          <w:szCs w:val="24"/>
          <w:lang w:val="en-GB"/>
        </w:rPr>
        <w:t>recurrence, worsening of heart failure, cardioembolic event, or major bleeding.</w:t>
      </w:r>
    </w:p>
    <w:p w14:paraId="6D33C8BB" w14:textId="77777777" w:rsidR="009C7100" w:rsidRPr="00B73B57" w:rsidRDefault="009C7100" w:rsidP="009C7100">
      <w:pPr>
        <w:autoSpaceDE w:val="0"/>
        <w:autoSpaceDN w:val="0"/>
        <w:adjustRightInd w:val="0"/>
        <w:spacing w:after="0" w:line="480" w:lineRule="auto"/>
        <w:jc w:val="both"/>
        <w:rPr>
          <w:rFonts w:cstheme="minorHAnsi"/>
          <w:bCs/>
          <w:color w:val="131413"/>
          <w:sz w:val="24"/>
          <w:szCs w:val="24"/>
          <w:lang w:val="en-GB"/>
        </w:rPr>
      </w:pPr>
    </w:p>
    <w:p w14:paraId="76A89F4C" w14:textId="77777777" w:rsidR="009C7100" w:rsidRPr="00B73B57" w:rsidRDefault="009C7100" w:rsidP="009C7100">
      <w:pPr>
        <w:autoSpaceDE w:val="0"/>
        <w:autoSpaceDN w:val="0"/>
        <w:adjustRightInd w:val="0"/>
        <w:spacing w:after="0" w:line="480" w:lineRule="auto"/>
        <w:jc w:val="both"/>
        <w:rPr>
          <w:rFonts w:cstheme="minorHAnsi"/>
          <w:b/>
          <w:color w:val="131413"/>
          <w:sz w:val="24"/>
          <w:szCs w:val="24"/>
          <w:lang w:val="en-GB"/>
        </w:rPr>
      </w:pPr>
      <w:r w:rsidRPr="00B73B57">
        <w:rPr>
          <w:rFonts w:cstheme="minorHAnsi"/>
          <w:b/>
          <w:color w:val="131413"/>
          <w:sz w:val="24"/>
          <w:szCs w:val="24"/>
          <w:lang w:val="en-GB"/>
        </w:rPr>
        <w:t>Results</w:t>
      </w:r>
    </w:p>
    <w:p w14:paraId="3DF42012" w14:textId="77777777" w:rsidR="009C7100" w:rsidRPr="00B73B57" w:rsidRDefault="009C7100" w:rsidP="009C7100">
      <w:pPr>
        <w:autoSpaceDE w:val="0"/>
        <w:autoSpaceDN w:val="0"/>
        <w:adjustRightInd w:val="0"/>
        <w:spacing w:after="0" w:line="480" w:lineRule="auto"/>
        <w:jc w:val="both"/>
        <w:rPr>
          <w:rFonts w:cstheme="minorHAnsi"/>
          <w:bCs/>
          <w:color w:val="131413"/>
          <w:sz w:val="24"/>
          <w:szCs w:val="24"/>
          <w:lang w:val="en-GB"/>
        </w:rPr>
      </w:pPr>
      <w:r w:rsidRPr="00B73B57">
        <w:rPr>
          <w:rFonts w:cstheme="minorHAnsi"/>
          <w:bCs/>
          <w:color w:val="131413"/>
          <w:sz w:val="24"/>
          <w:szCs w:val="24"/>
          <w:lang w:val="en-GB"/>
        </w:rPr>
        <w:t xml:space="preserve">We analysed </w:t>
      </w:r>
      <w:bookmarkStart w:id="2" w:name="_Hlk140820388"/>
      <w:bookmarkStart w:id="3" w:name="_Hlk140746986"/>
      <w:r w:rsidRPr="00B73B57">
        <w:rPr>
          <w:rFonts w:cstheme="minorHAnsi"/>
          <w:bCs/>
          <w:color w:val="131413"/>
          <w:sz w:val="24"/>
          <w:szCs w:val="24"/>
          <w:lang w:val="en-GB"/>
        </w:rPr>
        <w:t>113 and 116 patients in the Hybrid and Surgery Groups, respectively</w:t>
      </w:r>
      <w:bookmarkEnd w:id="2"/>
      <w:r w:rsidRPr="00B73B57">
        <w:rPr>
          <w:rFonts w:cstheme="minorHAnsi"/>
          <w:bCs/>
          <w:color w:val="131413"/>
          <w:sz w:val="24"/>
          <w:szCs w:val="24"/>
          <w:lang w:val="en-GB"/>
        </w:rPr>
        <w:t xml:space="preserve">, </w:t>
      </w:r>
      <w:bookmarkEnd w:id="3"/>
      <w:r w:rsidRPr="00B73B57">
        <w:rPr>
          <w:rFonts w:cstheme="minorHAnsi"/>
          <w:bCs/>
          <w:color w:val="131413"/>
          <w:sz w:val="24"/>
          <w:szCs w:val="24"/>
          <w:lang w:val="en-GB"/>
        </w:rPr>
        <w:t xml:space="preserve">with a median follow-up of 715 </w:t>
      </w:r>
      <w:r w:rsidRPr="00B73B57">
        <w:rPr>
          <w:rFonts w:cstheme="minorHAnsi"/>
          <w:color w:val="131413"/>
          <w:sz w:val="24"/>
          <w:szCs w:val="24"/>
          <w:lang w:val="en-GB"/>
        </w:rPr>
        <w:t>(IQR: 528–1072) days</w:t>
      </w:r>
      <w:r w:rsidRPr="00B73B57">
        <w:rPr>
          <w:rFonts w:cstheme="minorHAnsi"/>
          <w:bCs/>
          <w:color w:val="131413"/>
          <w:sz w:val="24"/>
          <w:szCs w:val="24"/>
          <w:lang w:val="en-GB"/>
        </w:rPr>
        <w:t xml:space="preserve">. </w:t>
      </w:r>
      <w:r>
        <w:rPr>
          <w:rFonts w:cstheme="minorHAnsi"/>
          <w:bCs/>
          <w:color w:val="131413"/>
          <w:sz w:val="24"/>
          <w:szCs w:val="24"/>
          <w:lang w:val="en-GB"/>
        </w:rPr>
        <w:t>T</w:t>
      </w:r>
      <w:r w:rsidRPr="00B73B57">
        <w:rPr>
          <w:rFonts w:cstheme="minorHAnsi"/>
          <w:bCs/>
          <w:color w:val="131413"/>
          <w:sz w:val="24"/>
          <w:szCs w:val="24"/>
          <w:lang w:val="en-GB"/>
        </w:rPr>
        <w:t xml:space="preserve">he primary efficacy endpoint was significantly reduced </w:t>
      </w:r>
      <w:r>
        <w:rPr>
          <w:rFonts w:cstheme="minorHAnsi"/>
          <w:bCs/>
          <w:color w:val="131413"/>
          <w:sz w:val="24"/>
          <w:szCs w:val="24"/>
          <w:lang w:val="en-GB"/>
        </w:rPr>
        <w:t>i</w:t>
      </w:r>
      <w:r w:rsidRPr="00B73B57">
        <w:rPr>
          <w:rFonts w:cstheme="minorHAnsi"/>
          <w:bCs/>
          <w:color w:val="131413"/>
          <w:sz w:val="24"/>
          <w:szCs w:val="24"/>
          <w:lang w:val="en-GB"/>
        </w:rPr>
        <w:t>n the Hybrid Group</w:t>
      </w:r>
      <w:r>
        <w:rPr>
          <w:rFonts w:cstheme="minorHAnsi"/>
          <w:bCs/>
          <w:color w:val="131413"/>
          <w:sz w:val="24"/>
          <w:szCs w:val="24"/>
          <w:lang w:val="en-GB"/>
        </w:rPr>
        <w:t xml:space="preserve"> </w:t>
      </w:r>
      <w:r w:rsidRPr="00B73B57">
        <w:rPr>
          <w:rFonts w:cstheme="minorHAnsi"/>
          <w:bCs/>
          <w:color w:val="131413"/>
          <w:sz w:val="24"/>
          <w:szCs w:val="24"/>
          <w:lang w:val="en-GB"/>
        </w:rPr>
        <w:t xml:space="preserve">(hazard ratio (HR)=0.38, 95% confidence interval (CI): 0.26–0.57, P&lt;0.001) as well as the primary clinical endpoint (HR=0.51, 95%CI: 0.30–0.86, P=0.012). The </w:t>
      </w:r>
      <w:r w:rsidRPr="00B73B57">
        <w:rPr>
          <w:rFonts w:cstheme="minorHAnsi"/>
          <w:bCs/>
          <w:color w:val="131413"/>
          <w:sz w:val="24"/>
          <w:szCs w:val="24"/>
          <w:lang w:val="en-GB"/>
        </w:rPr>
        <w:lastRenderedPageBreak/>
        <w:t>trial groups did not differ in all-cause mortality (HR=1.1</w:t>
      </w:r>
      <w:r>
        <w:rPr>
          <w:rFonts w:cstheme="minorHAnsi"/>
          <w:bCs/>
          <w:color w:val="131413"/>
          <w:sz w:val="24"/>
          <w:szCs w:val="24"/>
          <w:lang w:val="en-GB"/>
        </w:rPr>
        <w:t>7</w:t>
      </w:r>
      <w:r w:rsidRPr="00B73B57">
        <w:rPr>
          <w:rFonts w:cstheme="minorHAnsi"/>
          <w:bCs/>
          <w:color w:val="131413"/>
          <w:sz w:val="24"/>
          <w:szCs w:val="24"/>
          <w:lang w:val="en-GB"/>
        </w:rPr>
        <w:t>, 95%CI: 0.51–2.71, P=0.71). The major complications of catheter ablation were infrequent (1.9%).</w:t>
      </w:r>
    </w:p>
    <w:p w14:paraId="597F16F3" w14:textId="77777777" w:rsidR="009C7100" w:rsidRPr="00B73B57" w:rsidRDefault="009C7100" w:rsidP="009C7100">
      <w:pPr>
        <w:autoSpaceDE w:val="0"/>
        <w:autoSpaceDN w:val="0"/>
        <w:adjustRightInd w:val="0"/>
        <w:spacing w:after="0" w:line="480" w:lineRule="auto"/>
        <w:jc w:val="both"/>
        <w:rPr>
          <w:rFonts w:cstheme="minorHAnsi"/>
          <w:bCs/>
          <w:color w:val="131413"/>
          <w:sz w:val="24"/>
          <w:szCs w:val="24"/>
          <w:lang w:val="en-GB"/>
        </w:rPr>
      </w:pPr>
    </w:p>
    <w:p w14:paraId="7BA03BE5" w14:textId="77777777" w:rsidR="009C7100" w:rsidRPr="00B73B57" w:rsidRDefault="009C7100" w:rsidP="009C7100">
      <w:pPr>
        <w:autoSpaceDE w:val="0"/>
        <w:autoSpaceDN w:val="0"/>
        <w:adjustRightInd w:val="0"/>
        <w:spacing w:after="0" w:line="480" w:lineRule="auto"/>
        <w:jc w:val="both"/>
        <w:rPr>
          <w:rFonts w:cstheme="minorHAnsi"/>
          <w:b/>
          <w:color w:val="131413"/>
          <w:sz w:val="24"/>
          <w:szCs w:val="24"/>
          <w:lang w:val="en-GB"/>
        </w:rPr>
      </w:pPr>
      <w:r w:rsidRPr="00B73B57">
        <w:rPr>
          <w:rFonts w:cstheme="minorHAnsi"/>
          <w:b/>
          <w:color w:val="131413"/>
          <w:sz w:val="24"/>
          <w:szCs w:val="24"/>
          <w:lang w:val="en-GB"/>
        </w:rPr>
        <w:t>Conclusions</w:t>
      </w:r>
    </w:p>
    <w:p w14:paraId="4D26B54E" w14:textId="77777777" w:rsidR="009C7100" w:rsidRPr="00B73B57" w:rsidRDefault="009C7100" w:rsidP="009C7100">
      <w:pPr>
        <w:autoSpaceDE w:val="0"/>
        <w:autoSpaceDN w:val="0"/>
        <w:adjustRightInd w:val="0"/>
        <w:spacing w:after="0" w:line="480" w:lineRule="auto"/>
        <w:jc w:val="both"/>
        <w:rPr>
          <w:rFonts w:cstheme="minorHAnsi"/>
          <w:bCs/>
          <w:color w:val="131413"/>
          <w:sz w:val="24"/>
          <w:szCs w:val="24"/>
          <w:lang w:val="en-GB"/>
        </w:rPr>
      </w:pPr>
      <w:bookmarkStart w:id="4" w:name="_Hlk145535291"/>
      <w:r>
        <w:rPr>
          <w:rFonts w:cstheme="minorHAnsi"/>
          <w:bCs/>
          <w:color w:val="131413"/>
          <w:sz w:val="24"/>
          <w:szCs w:val="24"/>
          <w:lang w:val="en-GB"/>
        </w:rPr>
        <w:t xml:space="preserve">Compared to the CryoMaze procedure alone, the hybrid ablation strategy </w:t>
      </w:r>
      <w:r w:rsidRPr="00B73B57">
        <w:rPr>
          <w:rFonts w:cstheme="minorHAnsi"/>
          <w:bCs/>
          <w:color w:val="131413"/>
          <w:sz w:val="24"/>
          <w:szCs w:val="24"/>
          <w:lang w:val="en-GB"/>
        </w:rPr>
        <w:t>was safe and associated with higher freedom from atrial arrhythmias and improved clinical outcome</w:t>
      </w:r>
      <w:bookmarkEnd w:id="4"/>
      <w:r w:rsidRPr="00B73B57">
        <w:rPr>
          <w:rFonts w:cstheme="minorHAnsi"/>
          <w:bCs/>
          <w:color w:val="131413"/>
          <w:sz w:val="24"/>
          <w:szCs w:val="24"/>
          <w:lang w:val="en-GB"/>
        </w:rPr>
        <w:t>s</w:t>
      </w:r>
      <w:r>
        <w:rPr>
          <w:rFonts w:cstheme="minorHAnsi"/>
          <w:bCs/>
          <w:color w:val="131413"/>
          <w:sz w:val="24"/>
          <w:szCs w:val="24"/>
          <w:lang w:val="en-GB"/>
        </w:rPr>
        <w:t>.</w:t>
      </w:r>
    </w:p>
    <w:bookmarkEnd w:id="0"/>
    <w:p w14:paraId="61064794" w14:textId="77777777" w:rsidR="009C7100" w:rsidRPr="00B73B57" w:rsidRDefault="009C7100" w:rsidP="009C7100">
      <w:pPr>
        <w:autoSpaceDE w:val="0"/>
        <w:autoSpaceDN w:val="0"/>
        <w:adjustRightInd w:val="0"/>
        <w:spacing w:after="0" w:line="480" w:lineRule="auto"/>
        <w:jc w:val="both"/>
        <w:rPr>
          <w:rFonts w:cstheme="minorHAnsi"/>
          <w:b/>
          <w:color w:val="131413"/>
          <w:sz w:val="24"/>
          <w:szCs w:val="24"/>
          <w:lang w:val="en-GB"/>
        </w:rPr>
      </w:pPr>
    </w:p>
    <w:p w14:paraId="48F4D53A" w14:textId="77777777" w:rsidR="009C7100" w:rsidRPr="00B73B57" w:rsidRDefault="009C7100" w:rsidP="009C7100">
      <w:pPr>
        <w:autoSpaceDE w:val="0"/>
        <w:autoSpaceDN w:val="0"/>
        <w:adjustRightInd w:val="0"/>
        <w:spacing w:after="0" w:line="480" w:lineRule="auto"/>
        <w:jc w:val="both"/>
        <w:rPr>
          <w:rFonts w:cstheme="minorHAnsi"/>
          <w:b/>
          <w:color w:val="131413"/>
          <w:sz w:val="24"/>
          <w:szCs w:val="24"/>
          <w:lang w:val="en-GB"/>
        </w:rPr>
      </w:pPr>
      <w:r w:rsidRPr="00B73B57">
        <w:rPr>
          <w:rFonts w:cstheme="minorHAnsi"/>
          <w:b/>
          <w:color w:val="131413"/>
          <w:sz w:val="24"/>
          <w:szCs w:val="24"/>
          <w:lang w:val="en-GB"/>
        </w:rPr>
        <w:t>Keywords</w:t>
      </w:r>
    </w:p>
    <w:p w14:paraId="4CF65FFC" w14:textId="1901E83B" w:rsidR="001F7C74" w:rsidRDefault="009C7100" w:rsidP="009C7100">
      <w:pPr>
        <w:autoSpaceDE w:val="0"/>
        <w:autoSpaceDN w:val="0"/>
        <w:adjustRightInd w:val="0"/>
        <w:spacing w:after="0" w:line="480" w:lineRule="auto"/>
        <w:jc w:val="both"/>
        <w:rPr>
          <w:rFonts w:cstheme="minorHAnsi"/>
          <w:bCs/>
          <w:color w:val="131413"/>
          <w:sz w:val="24"/>
          <w:szCs w:val="24"/>
          <w:lang w:val="en-GB"/>
        </w:rPr>
      </w:pPr>
      <w:r w:rsidRPr="00B73B57">
        <w:rPr>
          <w:rFonts w:cstheme="minorHAnsi"/>
          <w:bCs/>
          <w:color w:val="131413"/>
          <w:sz w:val="24"/>
          <w:szCs w:val="24"/>
          <w:lang w:val="en-GB"/>
        </w:rPr>
        <w:t>atrial fibrillation; catheter ablation; concomitant atrial fibrillation ablation; hybrid ablation; Maze procedure</w:t>
      </w:r>
    </w:p>
    <w:p w14:paraId="46A7ED6E" w14:textId="77777777" w:rsidR="009C7100" w:rsidRPr="009C7100" w:rsidRDefault="009C7100" w:rsidP="009C7100">
      <w:pPr>
        <w:autoSpaceDE w:val="0"/>
        <w:autoSpaceDN w:val="0"/>
        <w:adjustRightInd w:val="0"/>
        <w:spacing w:after="0" w:line="480" w:lineRule="auto"/>
        <w:jc w:val="both"/>
        <w:rPr>
          <w:rFonts w:cstheme="minorHAnsi"/>
          <w:bCs/>
          <w:color w:val="131413"/>
          <w:sz w:val="24"/>
          <w:szCs w:val="24"/>
          <w:lang w:val="en-GB"/>
        </w:rPr>
      </w:pPr>
    </w:p>
    <w:sectPr w:rsidR="009C7100" w:rsidRPr="009C7100" w:rsidSect="005031A0">
      <w:pgSz w:w="11906" w:h="16838" w:code="9"/>
      <w:pgMar w:top="1418" w:right="1418" w:bottom="1418" w:left="1418"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00"/>
    <w:rsid w:val="001F7C74"/>
    <w:rsid w:val="005031A0"/>
    <w:rsid w:val="009C71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381E"/>
  <w15:chartTrackingRefBased/>
  <w15:docId w15:val="{4556C32E-2B2D-4F8C-BDE4-0B8D9EE6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7100"/>
    <w:pPr>
      <w:spacing w:after="200" w:line="276" w:lineRule="auto"/>
    </w:pPr>
    <w:rPr>
      <w:kern w:val="0"/>
      <w:lang w:val="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1648</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Bulava</dc:creator>
  <cp:keywords/>
  <dc:description/>
  <cp:lastModifiedBy>Alan Bulava</cp:lastModifiedBy>
  <cp:revision>1</cp:revision>
  <dcterms:created xsi:type="dcterms:W3CDTF">2023-09-24T20:09:00Z</dcterms:created>
  <dcterms:modified xsi:type="dcterms:W3CDTF">2023-09-24T20:10:00Z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dc90622a-3be3-42ec-8a5c-22d5cae257e0</vt:lpwstr>
  </property>
</Properties>
</file>